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/>
        <w:ind w:lef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bookmarkStart w:id="0" w:name="_GoBack"/>
      <w:bookmarkEnd w:id="0"/>
    </w:p>
    <w:p>
      <w:pPr>
        <w:pStyle w:val="2"/>
        <w:spacing w:before="0" w:line="700" w:lineRule="exact"/>
        <w:ind w:left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技能提升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培训协议</w:t>
      </w:r>
    </w:p>
    <w:p>
      <w:pPr>
        <w:pStyle w:val="2"/>
        <w:spacing w:before="0" w:line="700" w:lineRule="exact"/>
        <w:ind w:left="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（企业与定点培训机构签订时使用）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600" w:lineRule="exact"/>
        <w:rPr>
          <w:rFonts w:cs="Times New Roman"/>
        </w:rPr>
      </w:pPr>
      <w:r>
        <w:rPr>
          <w:rFonts w:cs="Times New Roman"/>
        </w:rPr>
        <w:t> </w:t>
      </w: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甲方（企业）: </w:t>
      </w: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邮寄地址: </w:t>
      </w: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法定代表人: </w:t>
      </w: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联系方式:</w:t>
      </w: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乙方（定点培训机构）: </w:t>
      </w: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邮寄地址: </w:t>
      </w:r>
    </w:p>
    <w:p>
      <w:pPr>
        <w:pStyle w:val="2"/>
        <w:spacing w:before="0"/>
        <w:ind w:left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法定代表人: </w:t>
      </w:r>
    </w:p>
    <w:p>
      <w:pPr>
        <w:pStyle w:val="2"/>
        <w:spacing w:before="0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联系方式: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经甲乙双方协商，就委托定点培训机构对职工开展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技能提升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培训有关事宜达成如下协议：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一、培训平台</w:t>
      </w:r>
    </w:p>
    <w:p>
      <w:pPr>
        <w:spacing w:line="600" w:lineRule="exact"/>
        <w:ind w:firstLine="64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乙方依据甲方具体培训需求提供如下培训平台：</w:t>
      </w:r>
    </w:p>
    <w:tbl>
      <w:tblPr>
        <w:tblStyle w:val="5"/>
        <w:tblW w:w="85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268"/>
        <w:gridCol w:w="2693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941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平台名称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平台网址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涉及职业（工种/岗位）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总课时数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94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94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</w:tbl>
    <w:p>
      <w:pPr>
        <w:numPr>
          <w:ilvl w:val="0"/>
          <w:numId w:val="1"/>
        </w:numPr>
        <w:spacing w:line="600" w:lineRule="exact"/>
        <w:ind w:firstLine="56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培训内容及培训期限</w:t>
      </w:r>
    </w:p>
    <w:p>
      <w:pPr>
        <w:spacing w:line="600" w:lineRule="exact"/>
        <w:ind w:firstLine="64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乙方依据甲方具体培训需求组织实施培训，培训计划如下：</w:t>
      </w:r>
    </w:p>
    <w:tbl>
      <w:tblPr>
        <w:tblStyle w:val="5"/>
        <w:tblW w:w="8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2372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3418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 xml:space="preserve">培训职业 </w:t>
            </w:r>
            <w:r>
              <w:rPr>
                <w:rFonts w:hint="eastAsia" w:ascii="方正黑体_GBK" w:hAnsi="hakuyoxingshu7000" w:eastAsia="方正黑体_GBK"/>
                <w:sz w:val="21"/>
                <w:szCs w:val="21"/>
              </w:rPr>
              <w:t xml:space="preserve">( </w:t>
            </w: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工种/岗位</w:t>
            </w:r>
            <w:r>
              <w:rPr>
                <w:rFonts w:hint="eastAsia" w:ascii="方正黑体_GBK" w:hAnsi="hakuyoxingshu7000" w:eastAsia="方正黑体_GBK"/>
                <w:sz w:val="21"/>
                <w:szCs w:val="21"/>
              </w:rPr>
              <w:t>)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培训期限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hAnsi="Arial Unicode MS" w:eastAsia="方正黑体_GBK"/>
                <w:sz w:val="21"/>
                <w:szCs w:val="21"/>
              </w:rPr>
              <w:t>培训人数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3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2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 w:cs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方正楷体_GBK"/>
          <w:sz w:val="32"/>
          <w:szCs w:val="32"/>
        </w:rPr>
        <w:t>培训内容主要包括：安全技能、疫情防控知识和通用职业素质等综合性培训，</w:t>
      </w:r>
      <w:r>
        <w:rPr>
          <w:rFonts w:hint="eastAsia" w:ascii="仿宋" w:hAnsi="仿宋" w:eastAsia="仿宋" w:cs="方正楷体_GBK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方正楷体_GBK"/>
          <w:sz w:val="32"/>
          <w:szCs w:val="32"/>
        </w:rPr>
        <w:t>岗位技能提升培训、转岗转业培训、新型学徒培训。</w:t>
      </w:r>
    </w:p>
    <w:p>
      <w:pPr>
        <w:spacing w:line="600" w:lineRule="exact"/>
        <w:ind w:firstLine="56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、甲方的责任与义务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1．甲方联合乙方共同确定培训教学计划，明确培训方式、内容、期限、人数等。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2．甲方协助乙方组织职工按时参加培训，保证职工完成相关课程的学习。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甲方对乙方培训的全过程进行监督和指导，及时向乙方进行必要的信息反馈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56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、乙方的责任与义务</w:t>
      </w:r>
    </w:p>
    <w:p>
      <w:pPr>
        <w:spacing w:line="600" w:lineRule="exact"/>
        <w:ind w:firstLine="66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1．乙方应按相关政策要求向所在地人社部门进行培训申报，经审核后开展培训。</w:t>
      </w:r>
    </w:p>
    <w:p>
      <w:pPr>
        <w:spacing w:line="600" w:lineRule="exact"/>
        <w:ind w:firstLine="66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2. 乙方应在甲方的配合下，严格执行培训教学计划，确保培训质量，并做好培训记录。保证线上培训过程、结果可监控，可追溯。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. 乙方应在培训结束时对学员进行考核。</w:t>
      </w:r>
    </w:p>
    <w:p>
      <w:pPr>
        <w:spacing w:line="600" w:lineRule="exact"/>
        <w:ind w:firstLine="56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、附则</w:t>
      </w:r>
    </w:p>
    <w:p>
      <w:pPr>
        <w:spacing w:line="600" w:lineRule="exact"/>
        <w:ind w:firstLine="560"/>
        <w:rPr>
          <w:rFonts w:ascii="仿宋" w:hAnsi="仿宋" w:eastAsia="仿宋" w:cs="黑体"/>
          <w:color w:val="000000" w:themeColor="text1"/>
          <w:sz w:val="32"/>
          <w:szCs w:val="32"/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. 双方因协议的解释或履行发生争议，由双方协商解决</w:t>
      </w:r>
      <w:r>
        <w:rPr>
          <w:rFonts w:ascii="仿宋" w:hAnsi="仿宋" w:eastAsia="仿宋" w:cs="仿宋_GB2312"/>
          <w:color w:val="000000" w:themeColor="text1"/>
          <w:sz w:val="32"/>
          <w:szCs w:val="32"/>
        </w:rPr>
        <w:t xml:space="preserve">。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协商不成，任何一方可向当地人民法院提起诉讼</w:t>
      </w:r>
      <w:r>
        <w:rPr>
          <w:rFonts w:ascii="仿宋" w:hAnsi="仿宋" w:eastAsia="仿宋" w:cs="仿宋_GB2312"/>
          <w:color w:val="000000" w:themeColor="text1"/>
          <w:sz w:val="32"/>
          <w:szCs w:val="32"/>
        </w:rPr>
        <w:t>。</w:t>
      </w:r>
    </w:p>
    <w:p>
      <w:pPr>
        <w:pStyle w:val="2"/>
        <w:spacing w:before="0"/>
        <w:ind w:left="0" w:firstLine="640" w:firstLineChars="200"/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</w:pPr>
      <w:r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  <w:t>2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. 本协议的变更、续签及其他未尽事宜，由双方另行商定</w:t>
      </w:r>
      <w:r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2"/>
        <w:spacing w:before="0"/>
        <w:ind w:left="0" w:firstLine="640" w:firstLineChars="200"/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</w:pPr>
      <w:r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  <w:t>3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. 本协议自双方签字盖章后生效，有效期为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年</w:t>
      </w:r>
      <w:r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  <w:t>。</w:t>
      </w:r>
    </w:p>
    <w:p>
      <w:pPr>
        <w:pStyle w:val="2"/>
        <w:spacing w:before="0"/>
        <w:ind w:left="0" w:firstLine="640" w:firstLineChars="200"/>
        <w:rPr>
          <w:rFonts w:ascii="仿宋" w:hAnsi="仿宋" w:eastAsia="仿宋" w:cs="仿宋_GB2312"/>
          <w:b/>
          <w:color w:val="000000" w:themeColor="text1"/>
          <w:kern w:val="2"/>
          <w:sz w:val="32"/>
          <w:szCs w:val="32"/>
        </w:rPr>
      </w:pPr>
      <w:r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  <w:t>4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.本协议一式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份，甲方执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份、乙方执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份为凭</w:t>
      </w:r>
      <w:r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</w:rPr>
        <w:t>其他事项</w:t>
      </w:r>
      <w:r>
        <w:rPr>
          <w:rFonts w:ascii="仿宋" w:hAnsi="仿宋" w:eastAsia="仿宋" w:cs="仿宋_GB2312"/>
          <w:color w:val="000000" w:themeColor="text1"/>
          <w:kern w:val="2"/>
          <w:sz w:val="32"/>
          <w:szCs w:val="32"/>
        </w:rPr>
        <w:t>:</w:t>
      </w:r>
      <w:r>
        <w:rPr>
          <w:rFonts w:hint="eastAsia" w:ascii="仿宋" w:hAnsi="仿宋" w:eastAsia="仿宋" w:cs="仿宋_GB2312"/>
          <w:b/>
          <w:color w:val="000000" w:themeColor="text1"/>
          <w:kern w:val="2"/>
          <w:sz w:val="32"/>
          <w:szCs w:val="32"/>
        </w:rPr>
        <w:t>（各企业可根据实际情况与合作培训机构约定其他事项）</w:t>
      </w:r>
    </w:p>
    <w:p>
      <w:pPr>
        <w:pStyle w:val="2"/>
        <w:kinsoku w:val="0"/>
        <w:overflowPunct w:val="0"/>
        <w:spacing w:before="0"/>
        <w:ind w:left="0"/>
        <w:rPr>
          <w:rFonts w:ascii="仿宋" w:hAnsi="仿宋" w:eastAsia="仿宋"/>
          <w:sz w:val="26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" w:hAnsi="仿宋" w:eastAsia="仿宋"/>
          <w:sz w:val="26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" w:hAnsi="仿宋" w:eastAsia="仿宋"/>
          <w:sz w:val="26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" w:hAnsi="仿宋" w:eastAsia="仿宋"/>
          <w:sz w:val="26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" w:hAnsi="仿宋" w:eastAsia="仿宋"/>
          <w:sz w:val="26"/>
        </w:rPr>
      </w:pPr>
    </w:p>
    <w:p>
      <w:pPr>
        <w:pStyle w:val="2"/>
        <w:kinsoku w:val="0"/>
        <w:overflowPunct w:val="0"/>
        <w:spacing w:before="13"/>
        <w:ind w:left="0"/>
        <w:rPr>
          <w:rFonts w:ascii="仿宋" w:hAnsi="仿宋" w:eastAsia="仿宋"/>
          <w:sz w:val="20"/>
        </w:rPr>
      </w:pPr>
    </w:p>
    <w:p>
      <w:pPr>
        <w:pStyle w:val="2"/>
        <w:tabs>
          <w:tab w:val="left" w:pos="5085"/>
        </w:tabs>
        <w:kinsoku w:val="0"/>
        <w:overflowPunct w:val="0"/>
        <w:spacing w:before="0"/>
        <w:ind w:left="0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甲方（盖章）: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>乙方（盖章）:</w:t>
      </w:r>
    </w:p>
    <w:p>
      <w:pPr>
        <w:pStyle w:val="2"/>
        <w:tabs>
          <w:tab w:val="left" w:pos="5085"/>
        </w:tabs>
        <w:kinsoku w:val="0"/>
        <w:overflowPunct w:val="0"/>
        <w:ind w:left="0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签字人:</w:t>
      </w:r>
      <w:r>
        <w:rPr>
          <w:rFonts w:hint="eastAsia" w:ascii="仿宋" w:hAnsi="仿宋" w:eastAsia="仿宋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>签字人:</w:t>
      </w:r>
    </w:p>
    <w:p>
      <w:pPr>
        <w:pStyle w:val="2"/>
        <w:kinsoku w:val="0"/>
        <w:overflowPunct w:val="0"/>
        <w:spacing w:before="0"/>
        <w:ind w:left="0"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年  月  日</w:t>
      </w:r>
      <w:r>
        <w:rPr>
          <w:rFonts w:hint="eastAsia" w:ascii="仿宋" w:hAnsi="仿宋" w:eastAsia="仿宋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307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BB0A"/>
    <w:multiLevelType w:val="singleLevel"/>
    <w:tmpl w:val="580EBB0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D97"/>
    <w:rsid w:val="00155C20"/>
    <w:rsid w:val="001A43D0"/>
    <w:rsid w:val="00227608"/>
    <w:rsid w:val="002A71A8"/>
    <w:rsid w:val="00352462"/>
    <w:rsid w:val="003913DD"/>
    <w:rsid w:val="0039732F"/>
    <w:rsid w:val="003D7664"/>
    <w:rsid w:val="003F6B12"/>
    <w:rsid w:val="0040732A"/>
    <w:rsid w:val="004830BC"/>
    <w:rsid w:val="004B2DB1"/>
    <w:rsid w:val="004C3552"/>
    <w:rsid w:val="004C5A36"/>
    <w:rsid w:val="00642649"/>
    <w:rsid w:val="006A5B55"/>
    <w:rsid w:val="00723F8B"/>
    <w:rsid w:val="007D5911"/>
    <w:rsid w:val="008B5B99"/>
    <w:rsid w:val="00900D94"/>
    <w:rsid w:val="009D0C2C"/>
    <w:rsid w:val="00A3343D"/>
    <w:rsid w:val="00B503C4"/>
    <w:rsid w:val="00B80D97"/>
    <w:rsid w:val="00BA65EF"/>
    <w:rsid w:val="00C32D46"/>
    <w:rsid w:val="00C66DBD"/>
    <w:rsid w:val="00C83B8C"/>
    <w:rsid w:val="00C95582"/>
    <w:rsid w:val="00E907CC"/>
    <w:rsid w:val="00F337B1"/>
    <w:rsid w:val="00F3708A"/>
    <w:rsid w:val="00F7435C"/>
    <w:rsid w:val="051C30E2"/>
    <w:rsid w:val="202E5E96"/>
    <w:rsid w:val="52241018"/>
    <w:rsid w:val="54FE616E"/>
    <w:rsid w:val="648539D0"/>
    <w:rsid w:val="65803327"/>
    <w:rsid w:val="6B320F56"/>
    <w:rsid w:val="6F605CC2"/>
    <w:rsid w:val="73D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 w:cs="Times New Roman"/>
      <w:kern w:val="0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Arial Unicode MS" w:hAnsi="Arial Unicode MS" w:eastAsia="Arial Unicode MS" w:cs="Times New Roman"/>
      <w:kern w:val="0"/>
      <w:szCs w:val="24"/>
    </w:rPr>
  </w:style>
  <w:style w:type="paragraph" w:customStyle="1" w:styleId="10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</Words>
  <Characters>1179</Characters>
  <Lines>9</Lines>
  <Paragraphs>2</Paragraphs>
  <TotalTime>225</TotalTime>
  <ScaleCrop>false</ScaleCrop>
  <LinksUpToDate>false</LinksUpToDate>
  <CharactersWithSpaces>1383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2020-02-22T02:46:00Z</dcterms:created>
  <dc:creator>Windows 用户</dc:creator>
  <cp:lastModifiedBy>人社局</cp:lastModifiedBy>
  <cp:lastPrinted>2020-02-28T02:46:24Z</cp:lastPrinted>
  <dcterms:modified xsi:type="dcterms:W3CDTF">2020-02-28T02:46:30Z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